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457C1E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0689DAC5" wp14:editId="719A5F47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C1E" w:rsidRPr="00711362" w:rsidRDefault="00457C1E" w:rsidP="00711362">
      <w:pPr>
        <w:spacing w:after="0"/>
        <w:rPr>
          <w:rStyle w:val="heading10"/>
          <w:color w:val="auto"/>
          <w:sz w:val="40"/>
          <w:szCs w:val="40"/>
        </w:rPr>
      </w:pPr>
      <w:proofErr w:type="gramStart"/>
      <w:r w:rsidRPr="00711362">
        <w:rPr>
          <w:rStyle w:val="heading10"/>
          <w:color w:val="auto"/>
          <w:sz w:val="40"/>
          <w:szCs w:val="40"/>
        </w:rPr>
        <w:t>#3 Information</w:t>
      </w:r>
      <w:proofErr w:type="gramEnd"/>
      <w:r w:rsidRPr="00711362">
        <w:rPr>
          <w:rStyle w:val="heading10"/>
          <w:color w:val="auto"/>
          <w:sz w:val="40"/>
          <w:szCs w:val="40"/>
        </w:rPr>
        <w:t xml:space="preserve"> and Data Privacy</w:t>
      </w:r>
    </w:p>
    <w:p w:rsidR="00D85B40" w:rsidRPr="00D85B40" w:rsidRDefault="00D85B40" w:rsidP="00711362">
      <w:pPr>
        <w:pStyle w:val="ListParagraph"/>
        <w:spacing w:before="0" w:after="0" w:line="276" w:lineRule="auto"/>
        <w:ind w:left="1440"/>
        <w:rPr>
          <w:rStyle w:val="subheading1"/>
          <w:color w:val="auto"/>
          <w:sz w:val="28"/>
          <w:szCs w:val="28"/>
        </w:rPr>
      </w:pPr>
      <w:r w:rsidRPr="00D85B40">
        <w:rPr>
          <w:rStyle w:val="subheading1"/>
          <w:color w:val="auto"/>
          <w:sz w:val="28"/>
          <w:szCs w:val="28"/>
        </w:rPr>
        <w:t>Business Continuity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7333"/>
        <w:gridCol w:w="3168"/>
      </w:tblGrid>
      <w:tr w:rsidR="00D85B40" w:rsidRPr="00711362" w:rsidTr="0071136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40" w:rsidRPr="00711362" w:rsidRDefault="00D85B40" w:rsidP="00B77D71">
            <w:pPr>
              <w:rPr>
                <w:rStyle w:val="subheading1"/>
                <w:color w:val="auto"/>
                <w:sz w:val="16"/>
                <w:szCs w:val="16"/>
              </w:rPr>
            </w:pP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</w:tcPr>
          <w:p w:rsidR="00D85B40" w:rsidRPr="00711362" w:rsidRDefault="00B77D71" w:rsidP="00B77D71">
            <w:pPr>
              <w:rPr>
                <w:rStyle w:val="subheading1"/>
                <w:color w:val="auto"/>
                <w:sz w:val="20"/>
                <w:szCs w:val="20"/>
              </w:rPr>
            </w:pPr>
            <w:r w:rsidRPr="00711362">
              <w:rPr>
                <w:rFonts w:ascii="Verdana" w:hAnsi="Verdana" w:cs="Arial"/>
                <w:b/>
                <w:bCs/>
                <w:szCs w:val="20"/>
              </w:rPr>
              <w:t>Part I: Business Information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40" w:rsidRPr="00711362" w:rsidRDefault="00711362">
            <w:pPr>
              <w:rPr>
                <w:rStyle w:val="subheading1"/>
                <w:color w:val="auto"/>
                <w:sz w:val="20"/>
                <w:szCs w:val="20"/>
              </w:rPr>
            </w:pPr>
            <w:r w:rsidRPr="00711362">
              <w:rPr>
                <w:rStyle w:val="subheading1"/>
                <w:color w:val="auto"/>
                <w:sz w:val="20"/>
                <w:szCs w:val="20"/>
              </w:rPr>
              <w:t>Answers &amp; Comments</w:t>
            </w:r>
          </w:p>
        </w:tc>
      </w:tr>
      <w:tr w:rsidR="00B77D71" w:rsidTr="00711362">
        <w:tc>
          <w:tcPr>
            <w:tcW w:w="515" w:type="dxa"/>
            <w:tcBorders>
              <w:top w:val="single" w:sz="4" w:space="0" w:color="auto"/>
            </w:tcBorders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</w:t>
            </w:r>
          </w:p>
        </w:tc>
        <w:tc>
          <w:tcPr>
            <w:tcW w:w="7333" w:type="dxa"/>
            <w:tcBorders>
              <w:top w:val="single" w:sz="4" w:space="0" w:color="auto"/>
            </w:tcBorders>
          </w:tcPr>
          <w:p w:rsidR="00B77D71" w:rsidRDefault="00B77D71" w:rsidP="009E3ABA">
            <w:pPr>
              <w:rPr>
                <w:rStyle w:val="subheading1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locations/branches does your operation have?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2</w:t>
            </w:r>
          </w:p>
        </w:tc>
        <w:tc>
          <w:tcPr>
            <w:tcW w:w="7333" w:type="dxa"/>
          </w:tcPr>
          <w:p w:rsidR="00B77D71" w:rsidRDefault="00B77D71" w:rsidP="009E3ABA">
            <w:pPr>
              <w:rPr>
                <w:rStyle w:val="subheading1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departments does your operation have?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 w:rsidP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3</w:t>
            </w:r>
          </w:p>
        </w:tc>
        <w:tc>
          <w:tcPr>
            <w:tcW w:w="7333" w:type="dxa"/>
          </w:tcPr>
          <w:p w:rsidR="00B77D71" w:rsidRDefault="00B77D71" w:rsidP="00711362">
            <w:pPr>
              <w:autoSpaceDE w:val="0"/>
              <w:autoSpaceDN w:val="0"/>
              <w:adjustRightInd w:val="0"/>
              <w:rPr>
                <w:rStyle w:val="subheading1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 Emergency Evacuation Plan that accounts for all personnel and</w:t>
            </w:r>
            <w:r w:rsidR="007113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clearly sets forth procedures to protect life safety in the event of an evacuation,</w:t>
            </w:r>
            <w:r w:rsidR="007113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heart attack, Bomb threat,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4</w:t>
            </w:r>
          </w:p>
        </w:tc>
        <w:tc>
          <w:tcPr>
            <w:tcW w:w="7333" w:type="dxa"/>
          </w:tcPr>
          <w:p w:rsidR="00B77D71" w:rsidRDefault="00B77D71" w:rsidP="00711362">
            <w:pPr>
              <w:autoSpaceDE w:val="0"/>
              <w:autoSpaceDN w:val="0"/>
              <w:adjustRightInd w:val="0"/>
              <w:rPr>
                <w:rStyle w:val="subheading1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currently have a Disaster Management Program in place (including a</w:t>
            </w:r>
            <w:r w:rsidR="007113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Crisis Management plan, Department Recovery workbooks, Emergency</w:t>
            </w:r>
            <w:r w:rsidR="007113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Evacuation Plan, Etc.)?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5</w:t>
            </w:r>
          </w:p>
        </w:tc>
        <w:tc>
          <w:tcPr>
            <w:tcW w:w="7333" w:type="dxa"/>
          </w:tcPr>
          <w:p w:rsidR="00B77D71" w:rsidRDefault="00B77D71" w:rsidP="00711362">
            <w:pPr>
              <w:autoSpaceDE w:val="0"/>
              <w:autoSpaceDN w:val="0"/>
              <w:adjustRightInd w:val="0"/>
              <w:rPr>
                <w:rStyle w:val="subheading1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have a Disaster Management Program in place is it documented and</w:t>
            </w:r>
            <w:r w:rsidR="007113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audited?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6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have a Disaster Management Program in place are your documents and</w:t>
            </w:r>
          </w:p>
          <w:p w:rsidR="00B77D71" w:rsidRDefault="00B77D71" w:rsidP="00B77D71">
            <w:pPr>
              <w:rPr>
                <w:rStyle w:val="subheading1"/>
                <w:color w:val="auto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operation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tested annually?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7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program in place that allows you to track audit requirements for</w:t>
            </w:r>
          </w:p>
          <w:p w:rsidR="00B77D71" w:rsidRDefault="00B77D71" w:rsidP="00B77D71">
            <w:pPr>
              <w:rPr>
                <w:rStyle w:val="subheading1"/>
                <w:color w:val="auto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your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documentation annually so that you remain in a state of audit readiness?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8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had a disaster today, do you know how much that would cost you in lost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opportunity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recovery expenses, penalties and fees?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RPr="00711362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333" w:type="dxa"/>
          </w:tcPr>
          <w:p w:rsidR="00B77D71" w:rsidRPr="00711362" w:rsidRDefault="00B77D71" w:rsidP="00B77D71">
            <w:pPr>
              <w:autoSpaceDE w:val="0"/>
              <w:autoSpaceDN w:val="0"/>
              <w:adjustRightInd w:val="0"/>
              <w:rPr>
                <w:rFonts w:ascii="Verdana" w:hAnsi="Verdana" w:cs="Arial"/>
                <w:szCs w:val="20"/>
              </w:rPr>
            </w:pPr>
            <w:r w:rsidRPr="00711362">
              <w:rPr>
                <w:rFonts w:ascii="Verdana" w:hAnsi="Verdana" w:cs="Arial"/>
                <w:b/>
                <w:bCs/>
                <w:szCs w:val="20"/>
              </w:rPr>
              <w:t>Part II: Operational Information</w:t>
            </w:r>
          </w:p>
        </w:tc>
        <w:tc>
          <w:tcPr>
            <w:tcW w:w="3168" w:type="dxa"/>
          </w:tcPr>
          <w:p w:rsidR="00B77D71" w:rsidRPr="00711362" w:rsidRDefault="00B77D71">
            <w:pPr>
              <w:rPr>
                <w:rStyle w:val="subheading1"/>
                <w:color w:val="auto"/>
                <w:sz w:val="20"/>
                <w:szCs w:val="20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9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 established Local Crisis Management Team with predestinated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well defined rolls and responsibilities? If so, is your team tested annually?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10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documented prioritized recovery strategies for critical departmental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processes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you operation?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11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know how much revenue your operation would lose if you were shut down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an unplanned business outage, and do you know over time when that loss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would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occur (Day 1, 3, 7. 30)?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12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know who you would need to contact in the event of a disaster, and is that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list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documented?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13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documented procedures for recovering lost or destroyed original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documents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forms?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RPr="00711362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333" w:type="dxa"/>
          </w:tcPr>
          <w:p w:rsidR="00B77D71" w:rsidRPr="00711362" w:rsidRDefault="00711362" w:rsidP="00B77D71">
            <w:pPr>
              <w:autoSpaceDE w:val="0"/>
              <w:autoSpaceDN w:val="0"/>
              <w:adjustRightInd w:val="0"/>
              <w:rPr>
                <w:rFonts w:ascii="Verdana" w:hAnsi="Verdana" w:cs="Arial"/>
                <w:szCs w:val="20"/>
              </w:rPr>
            </w:pPr>
            <w:r w:rsidRPr="00711362">
              <w:rPr>
                <w:rFonts w:ascii="Verdana" w:hAnsi="Verdana" w:cs="Arial"/>
                <w:b/>
                <w:bCs/>
                <w:szCs w:val="20"/>
              </w:rPr>
              <w:t>Part III: Technology Information</w:t>
            </w:r>
          </w:p>
        </w:tc>
        <w:tc>
          <w:tcPr>
            <w:tcW w:w="3168" w:type="dxa"/>
          </w:tcPr>
          <w:p w:rsidR="00B77D71" w:rsidRPr="00711362" w:rsidRDefault="00B77D71">
            <w:pPr>
              <w:rPr>
                <w:rStyle w:val="subheading1"/>
                <w:color w:val="auto"/>
                <w:sz w:val="20"/>
                <w:szCs w:val="20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14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lost your critical applications and data today, do you know how much that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would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cost you in lost opportunity, recovery expenses, penalties and fees?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15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currently have a system in place to recover lost data that is stored locally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your office, and are those procedures clearly documented?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16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the applications that your operation relies on in order to perform your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business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tasks? Are those applications hosted locally or by a third party provider?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17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know how long it would take to recover your lost data?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18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lost access to all of you applications, do you know the priority in which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those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applications would need to be restored according to potential revenue loss?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19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currently have documented procedures to replicate your technology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infrastructure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an alternate work facility?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20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documented procedures that outline what you would do with your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system in the event of the loss of your work facility?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color w:val="auto"/>
                <w:sz w:val="16"/>
                <w:szCs w:val="16"/>
              </w:rPr>
            </w:pPr>
            <w:r w:rsidRPr="00711362">
              <w:rPr>
                <w:rStyle w:val="subheading1"/>
                <w:color w:val="auto"/>
                <w:sz w:val="16"/>
                <w:szCs w:val="16"/>
              </w:rPr>
              <w:t>21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your applications accessible outside of the office? And if so, then how?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RPr="00711362" w:rsidTr="00711362">
        <w:tc>
          <w:tcPr>
            <w:tcW w:w="515" w:type="dxa"/>
          </w:tcPr>
          <w:p w:rsidR="00B77D71" w:rsidRPr="00711362" w:rsidRDefault="00B77D71">
            <w:pPr>
              <w:rPr>
                <w:rStyle w:val="subheading1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333" w:type="dxa"/>
          </w:tcPr>
          <w:p w:rsidR="00B77D71" w:rsidRPr="00711362" w:rsidRDefault="00711362" w:rsidP="00B77D71">
            <w:pPr>
              <w:autoSpaceDE w:val="0"/>
              <w:autoSpaceDN w:val="0"/>
              <w:adjustRightInd w:val="0"/>
              <w:rPr>
                <w:rFonts w:ascii="Verdana" w:hAnsi="Verdana" w:cs="Arial"/>
                <w:szCs w:val="20"/>
              </w:rPr>
            </w:pPr>
            <w:r w:rsidRPr="00711362">
              <w:rPr>
                <w:rFonts w:ascii="Verdana" w:hAnsi="Verdana" w:cs="Arial"/>
                <w:b/>
                <w:bCs/>
                <w:szCs w:val="20"/>
              </w:rPr>
              <w:t>Part IV: Vendor Information</w:t>
            </w:r>
          </w:p>
        </w:tc>
        <w:tc>
          <w:tcPr>
            <w:tcW w:w="3168" w:type="dxa"/>
          </w:tcPr>
          <w:p w:rsidR="00B77D71" w:rsidRPr="00711362" w:rsidRDefault="00B77D71">
            <w:pPr>
              <w:rPr>
                <w:rStyle w:val="subheading1"/>
                <w:color w:val="auto"/>
                <w:sz w:val="20"/>
                <w:szCs w:val="20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1362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know what kind of impact a disaster at your critical vendors would have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upon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your operation?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1362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know what recovery time capabilities your critical vendors have in place?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1362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know if you critical vendors have plans in place that ensures the continuity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their service to you?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1362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 SLA with your critical vendors?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1362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standardized documentation for inquiring about your critical vendor's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recovery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capabilities and time frames? Do you know what questions to ask?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  <w:tr w:rsidR="00B77D71" w:rsidTr="00711362">
        <w:tc>
          <w:tcPr>
            <w:tcW w:w="515" w:type="dxa"/>
          </w:tcPr>
          <w:p w:rsidR="00B77D71" w:rsidRPr="00711362" w:rsidRDefault="00B77D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1362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333" w:type="dxa"/>
          </w:tcPr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know which vendors you will need to contact in order of importance in the</w:t>
            </w:r>
          </w:p>
          <w:p w:rsidR="00B77D71" w:rsidRDefault="00B77D71" w:rsidP="00B77D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event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a disaster?</w:t>
            </w:r>
          </w:p>
        </w:tc>
        <w:tc>
          <w:tcPr>
            <w:tcW w:w="3168" w:type="dxa"/>
          </w:tcPr>
          <w:p w:rsidR="00B77D71" w:rsidRDefault="00B77D71">
            <w:pPr>
              <w:rPr>
                <w:rStyle w:val="subheading1"/>
                <w:color w:val="auto"/>
              </w:rPr>
            </w:pPr>
          </w:p>
        </w:tc>
      </w:tr>
    </w:tbl>
    <w:p w:rsidR="00D85B40" w:rsidRDefault="00D85B40" w:rsidP="00711362">
      <w:pPr>
        <w:rPr>
          <w:rStyle w:val="subheading1"/>
          <w:color w:val="auto"/>
        </w:rPr>
      </w:pPr>
      <w:bookmarkStart w:id="0" w:name="_GoBack"/>
      <w:bookmarkEnd w:id="0"/>
    </w:p>
    <w:sectPr w:rsidR="00D85B40" w:rsidSect="00457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DD5"/>
    <w:multiLevelType w:val="hybridMultilevel"/>
    <w:tmpl w:val="A2B8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533D8"/>
    <w:multiLevelType w:val="hybridMultilevel"/>
    <w:tmpl w:val="3AFA0F7A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1066"/>
    <w:multiLevelType w:val="hybridMultilevel"/>
    <w:tmpl w:val="DC78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15CE1"/>
    <w:multiLevelType w:val="hybridMultilevel"/>
    <w:tmpl w:val="4E92CF24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6BF66">
      <w:numFmt w:val="bullet"/>
      <w:lvlText w:val=""/>
      <w:lvlJc w:val="left"/>
      <w:pPr>
        <w:ind w:left="2520" w:hanging="720"/>
      </w:pPr>
      <w:rPr>
        <w:rFonts w:ascii="Symbol" w:eastAsia="Calibri" w:hAnsi="Symbol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6160"/>
    <w:multiLevelType w:val="hybridMultilevel"/>
    <w:tmpl w:val="DE1E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827E4D"/>
    <w:multiLevelType w:val="hybridMultilevel"/>
    <w:tmpl w:val="4A66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E"/>
    <w:rsid w:val="000054C0"/>
    <w:rsid w:val="000058E2"/>
    <w:rsid w:val="00017C2F"/>
    <w:rsid w:val="00021B5A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4331A"/>
    <w:rsid w:val="0016013F"/>
    <w:rsid w:val="001718E4"/>
    <w:rsid w:val="0017410D"/>
    <w:rsid w:val="00191E29"/>
    <w:rsid w:val="001B3BB3"/>
    <w:rsid w:val="001C0110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0E3C"/>
    <w:rsid w:val="00421A1C"/>
    <w:rsid w:val="00457C1E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11362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146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C7AA1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55878"/>
    <w:rsid w:val="00B64EA9"/>
    <w:rsid w:val="00B73027"/>
    <w:rsid w:val="00B77D71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B40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5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1E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457C1E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457C1E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45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1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7C1E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457C1E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5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1E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457C1E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457C1E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45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1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7C1E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457C1E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2014-03-17T16:28:00Z</dcterms:created>
  <dcterms:modified xsi:type="dcterms:W3CDTF">2014-03-17T16:43:00Z</dcterms:modified>
</cp:coreProperties>
</file>